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-7" w:tblpY="-1"/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4A0"/>
      </w:tblPr>
      <w:tblGrid>
        <w:gridCol w:w="9798"/>
      </w:tblGrid>
      <w:tr w:rsidR="00465D24" w:rsidRPr="00623711" w:rsidTr="007D20AF">
        <w:trPr>
          <w:trHeight w:val="15516"/>
        </w:trPr>
        <w:tc>
          <w:tcPr>
            <w:tcW w:w="9798" w:type="dxa"/>
          </w:tcPr>
          <w:p w:rsidR="00465D24" w:rsidRDefault="00465D24" w:rsidP="007D20AF"/>
          <w:tbl>
            <w:tblPr>
              <w:tblpPr w:leftFromText="180" w:rightFromText="180" w:bottomFromText="200" w:vertAnchor="text" w:horzAnchor="margin" w:tblpX="-284" w:tblpY="-1"/>
              <w:tblW w:w="4900" w:type="pct"/>
              <w:tblLayout w:type="fixed"/>
              <w:tblCellMar>
                <w:top w:w="60" w:type="dxa"/>
                <w:left w:w="80" w:type="dxa"/>
                <w:bottom w:w="60" w:type="dxa"/>
                <w:right w:w="80" w:type="dxa"/>
              </w:tblCellMar>
              <w:tblLook w:val="04A0"/>
            </w:tblPr>
            <w:tblGrid>
              <w:gridCol w:w="4854"/>
              <w:gridCol w:w="2407"/>
              <w:gridCol w:w="2184"/>
            </w:tblGrid>
            <w:tr w:rsidR="00465D24" w:rsidRPr="003415FF" w:rsidTr="007D20AF">
              <w:trPr>
                <w:trHeight w:val="1228"/>
              </w:trPr>
              <w:tc>
                <w:tcPr>
                  <w:tcW w:w="9445" w:type="dxa"/>
                  <w:gridSpan w:val="3"/>
                </w:tcPr>
                <w:p w:rsidR="00465D24" w:rsidRDefault="00465D24" w:rsidP="007D20AF">
                  <w:pPr>
                    <w:pStyle w:val="ad"/>
                    <w:tabs>
                      <w:tab w:val="left" w:pos="708"/>
                    </w:tabs>
                    <w:spacing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465D24" w:rsidRDefault="00465D24" w:rsidP="007D20AF">
                  <w:pPr>
                    <w:pStyle w:val="ad"/>
                    <w:tabs>
                      <w:tab w:val="left" w:pos="708"/>
                    </w:tabs>
                    <w:spacing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465D24" w:rsidRPr="003415FF" w:rsidRDefault="00465D24" w:rsidP="007D20AF">
                  <w:pPr>
                    <w:pStyle w:val="ad"/>
                    <w:tabs>
                      <w:tab w:val="left" w:pos="708"/>
                    </w:tabs>
                    <w:spacing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3415FF">
                    <w:rPr>
                      <w:b/>
                      <w:sz w:val="28"/>
                      <w:szCs w:val="28"/>
                    </w:rPr>
                    <w:t>РОССИЙСКАЯ ФЕДЕРАЦИЯ</w:t>
                  </w:r>
                </w:p>
                <w:p w:rsidR="00465D24" w:rsidRPr="003415FF" w:rsidRDefault="00465D24" w:rsidP="007D20AF">
                  <w:pPr>
                    <w:pStyle w:val="ad"/>
                    <w:spacing w:line="276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СОВЕТ ДЕПУТАТОВ СРЕДНЕСИБИРСКОГО </w:t>
                  </w:r>
                  <w:r w:rsidRPr="003415FF">
                    <w:rPr>
                      <w:b/>
                      <w:bCs/>
                      <w:sz w:val="28"/>
                      <w:szCs w:val="28"/>
                    </w:rPr>
                    <w:t>СЕЛЬСОВЕТА</w:t>
                  </w:r>
                </w:p>
                <w:p w:rsidR="00465D24" w:rsidRPr="003415FF" w:rsidRDefault="00465D24" w:rsidP="007D20AF">
                  <w:pPr>
                    <w:pStyle w:val="ad"/>
                    <w:spacing w:line="276" w:lineRule="auto"/>
                    <w:jc w:val="center"/>
                    <w:rPr>
                      <w:b/>
                      <w:bCs/>
                      <w:spacing w:val="14"/>
                      <w:sz w:val="28"/>
                      <w:szCs w:val="28"/>
                    </w:rPr>
                  </w:pPr>
                  <w:r w:rsidRPr="003415FF">
                    <w:rPr>
                      <w:b/>
                      <w:bCs/>
                      <w:sz w:val="28"/>
                      <w:szCs w:val="28"/>
                    </w:rPr>
                    <w:t xml:space="preserve">ТАЛЬМЕНСКОГО РАЙОНА </w:t>
                  </w:r>
                  <w:r w:rsidRPr="003415FF">
                    <w:rPr>
                      <w:b/>
                      <w:bCs/>
                      <w:spacing w:val="20"/>
                      <w:sz w:val="28"/>
                      <w:szCs w:val="28"/>
                    </w:rPr>
                    <w:t>АЛТАЙСКОГО КРАЯ</w:t>
                  </w:r>
                  <w:r w:rsidRPr="003415FF">
                    <w:rPr>
                      <w:b/>
                      <w:bCs/>
                      <w:spacing w:val="14"/>
                      <w:sz w:val="28"/>
                      <w:szCs w:val="28"/>
                    </w:rPr>
                    <w:t xml:space="preserve">  </w:t>
                  </w:r>
                </w:p>
                <w:p w:rsidR="00465D24" w:rsidRPr="003415FF" w:rsidRDefault="00465D24" w:rsidP="007D20AF">
                  <w:pPr>
                    <w:pStyle w:val="6"/>
                    <w:keepLines w:val="0"/>
                    <w:numPr>
                      <w:ilvl w:val="5"/>
                      <w:numId w:val="17"/>
                    </w:numPr>
                    <w:tabs>
                      <w:tab w:val="left" w:pos="0"/>
                    </w:tabs>
                    <w:suppressAutoHyphens/>
                    <w:spacing w:before="0"/>
                    <w:ind w:left="4320" w:hanging="72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465D24" w:rsidRPr="003415FF" w:rsidTr="007D20AF">
              <w:trPr>
                <w:trHeight w:val="621"/>
              </w:trPr>
              <w:tc>
                <w:tcPr>
                  <w:tcW w:w="9445" w:type="dxa"/>
                  <w:gridSpan w:val="3"/>
                  <w:hideMark/>
                </w:tcPr>
                <w:p w:rsidR="00465D24" w:rsidRPr="003415FF" w:rsidRDefault="00465D24" w:rsidP="007D20AF">
                  <w:pPr>
                    <w:pStyle w:val="ad"/>
                    <w:tabs>
                      <w:tab w:val="left" w:pos="708"/>
                    </w:tabs>
                    <w:spacing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РЕШЕНИЕ</w:t>
                  </w:r>
                </w:p>
              </w:tc>
            </w:tr>
            <w:tr w:rsidR="00465D24" w:rsidRPr="003415FF" w:rsidTr="007D20AF">
              <w:trPr>
                <w:trHeight w:hRule="exact" w:val="489"/>
              </w:trPr>
              <w:tc>
                <w:tcPr>
                  <w:tcW w:w="4854" w:type="dxa"/>
                  <w:hideMark/>
                </w:tcPr>
                <w:p w:rsidR="00465D24" w:rsidRPr="003415FF" w:rsidRDefault="00465D24" w:rsidP="007D20AF">
                  <w:pPr>
                    <w:pStyle w:val="ad"/>
                    <w:tabs>
                      <w:tab w:val="left" w:pos="708"/>
                    </w:tabs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13.11. </w:t>
                  </w:r>
                  <w:r w:rsidRPr="003415FF">
                    <w:rPr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4591" w:type="dxa"/>
                  <w:gridSpan w:val="2"/>
                  <w:hideMark/>
                </w:tcPr>
                <w:p w:rsidR="00465D24" w:rsidRPr="003415FF" w:rsidRDefault="00465D24" w:rsidP="007D20AF">
                  <w:pPr>
                    <w:pStyle w:val="ad"/>
                    <w:tabs>
                      <w:tab w:val="left" w:pos="708"/>
                    </w:tabs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3415FF">
                    <w:rPr>
                      <w:sz w:val="28"/>
                      <w:szCs w:val="28"/>
                    </w:rPr>
                    <w:t xml:space="preserve">                                         № </w:t>
                  </w:r>
                  <w:r>
                    <w:rPr>
                      <w:sz w:val="28"/>
                      <w:szCs w:val="28"/>
                    </w:rPr>
                    <w:t>91</w:t>
                  </w:r>
                  <w:r w:rsidRPr="003415FF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465D24" w:rsidRPr="003415FF" w:rsidTr="007D20AF">
              <w:trPr>
                <w:trHeight w:val="503"/>
              </w:trPr>
              <w:tc>
                <w:tcPr>
                  <w:tcW w:w="9445" w:type="dxa"/>
                  <w:gridSpan w:val="3"/>
                  <w:hideMark/>
                </w:tcPr>
                <w:p w:rsidR="00465D24" w:rsidRPr="003415FF" w:rsidRDefault="00465D24" w:rsidP="007D20AF">
                  <w:pPr>
                    <w:pStyle w:val="ad"/>
                    <w:tabs>
                      <w:tab w:val="left" w:pos="708"/>
                    </w:tabs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</w:t>
                  </w:r>
                  <w:r w:rsidRPr="003415FF">
                    <w:rPr>
                      <w:sz w:val="28"/>
                      <w:szCs w:val="28"/>
                    </w:rPr>
                    <w:t xml:space="preserve">. </w:t>
                  </w:r>
                  <w:r>
                    <w:rPr>
                      <w:sz w:val="28"/>
                      <w:szCs w:val="28"/>
                    </w:rPr>
                    <w:t>Среднесибирский</w:t>
                  </w:r>
                </w:p>
              </w:tc>
            </w:tr>
            <w:tr w:rsidR="00465D24" w:rsidRPr="003415FF" w:rsidTr="007D20AF">
              <w:trPr>
                <w:gridAfter w:val="1"/>
                <w:wAfter w:w="2184" w:type="dxa"/>
                <w:trHeight w:val="1816"/>
              </w:trPr>
              <w:tc>
                <w:tcPr>
                  <w:tcW w:w="7261" w:type="dxa"/>
                  <w:gridSpan w:val="2"/>
                </w:tcPr>
                <w:p w:rsidR="00465D24" w:rsidRPr="007A7532" w:rsidRDefault="00465D24" w:rsidP="007D20AF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A75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 внесении изменений решение Совета депутатов от 19.02.2013 № 61 «Об утверждении Правил благоустройства на территории Среднесибирского сельсовета Тальменского района Алтайского края»</w:t>
                  </w:r>
                </w:p>
                <w:p w:rsidR="00465D24" w:rsidRPr="001573DC" w:rsidRDefault="00465D24" w:rsidP="007D20AF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465D24" w:rsidRPr="007A7532" w:rsidRDefault="00465D24" w:rsidP="007D20AF">
            <w:pPr>
              <w:shd w:val="clear" w:color="auto" w:fill="FFFFFF"/>
              <w:spacing w:after="0" w:line="270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7532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7A75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В соответствии с Федеральным законом от 06.10.2003 N 131-ФЗ "Об общих принципах организации местного самоуправления в Российской Федерации», Законом Алтайского края №20-ЗС от 11.03.2019 года «О порядке определения органами местного самоуправления границ прилегающих территорий», Уставом муниципального образования Среднесибирский сельсовет, Совет депутатов Среднесибирского сельсовета</w:t>
            </w:r>
          </w:p>
          <w:p w:rsidR="00465D24" w:rsidRPr="007A7532" w:rsidRDefault="00465D24" w:rsidP="007D20AF">
            <w:pPr>
              <w:shd w:val="clear" w:color="auto" w:fill="FFFFFF"/>
              <w:spacing w:after="0" w:line="270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65D24" w:rsidRPr="007A7532" w:rsidRDefault="00465D24" w:rsidP="007D20AF">
            <w:pPr>
              <w:shd w:val="clear" w:color="auto" w:fill="FFFFFF"/>
              <w:spacing w:after="135" w:line="270" w:lineRule="atLeast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7532">
              <w:rPr>
                <w:rFonts w:ascii="Times New Roman" w:eastAsia="Times New Roman" w:hAnsi="Times New Roman" w:cs="Times New Roman"/>
                <w:sz w:val="28"/>
                <w:szCs w:val="28"/>
              </w:rPr>
              <w:t>РЕШИЛ:</w:t>
            </w:r>
          </w:p>
          <w:p w:rsidR="00465D24" w:rsidRPr="007A7532" w:rsidRDefault="00465D24" w:rsidP="007D20AF">
            <w:pPr>
              <w:pStyle w:val="af7"/>
              <w:numPr>
                <w:ilvl w:val="0"/>
                <w:numId w:val="21"/>
              </w:numPr>
              <w:shd w:val="clear" w:color="auto" w:fill="FFFFFF"/>
              <w:spacing w:line="270" w:lineRule="atLeast"/>
              <w:ind w:left="0" w:right="-1" w:firstLine="567"/>
              <w:jc w:val="both"/>
              <w:rPr>
                <w:sz w:val="28"/>
                <w:szCs w:val="28"/>
              </w:rPr>
            </w:pPr>
            <w:r w:rsidRPr="007A7532">
              <w:rPr>
                <w:sz w:val="28"/>
                <w:szCs w:val="28"/>
              </w:rPr>
              <w:t xml:space="preserve">   Утвердить изменения Правил благоустройства на территории </w:t>
            </w:r>
          </w:p>
          <w:p w:rsidR="00465D24" w:rsidRPr="007A7532" w:rsidRDefault="00465D24" w:rsidP="007D20AF">
            <w:pPr>
              <w:shd w:val="clear" w:color="auto" w:fill="FFFFFF"/>
              <w:spacing w:after="0" w:line="270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7532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Среднесибирского сельсовета  в части определения границ прилегающих территорий в соответствии с приложением.</w:t>
            </w:r>
          </w:p>
          <w:p w:rsidR="00465D24" w:rsidRPr="007A7532" w:rsidRDefault="00465D24" w:rsidP="007D20AF">
            <w:pPr>
              <w:pStyle w:val="af7"/>
              <w:shd w:val="clear" w:color="auto" w:fill="FFFFFF"/>
              <w:spacing w:before="120" w:after="120"/>
              <w:ind w:left="0" w:right="-1"/>
              <w:jc w:val="both"/>
              <w:textAlignment w:val="baseline"/>
              <w:rPr>
                <w:sz w:val="28"/>
                <w:szCs w:val="28"/>
              </w:rPr>
            </w:pPr>
            <w:r w:rsidRPr="007A7532">
              <w:rPr>
                <w:sz w:val="28"/>
                <w:szCs w:val="28"/>
              </w:rPr>
              <w:t xml:space="preserve">        2. Обнародовать настоящее решение на официальном сайте Администрации Среднесибирского сельсовета Тальменского района в сети Интернет.</w:t>
            </w:r>
          </w:p>
          <w:p w:rsidR="00465D24" w:rsidRPr="007A7532" w:rsidRDefault="00465D24" w:rsidP="007D20AF">
            <w:pPr>
              <w:pStyle w:val="af7"/>
              <w:numPr>
                <w:ilvl w:val="0"/>
                <w:numId w:val="22"/>
              </w:numPr>
              <w:shd w:val="clear" w:color="auto" w:fill="FFFFFF"/>
              <w:spacing w:before="100" w:beforeAutospacing="1" w:after="135" w:line="270" w:lineRule="atLeast"/>
              <w:ind w:left="0" w:right="-1" w:firstLine="570"/>
              <w:jc w:val="both"/>
              <w:rPr>
                <w:sz w:val="28"/>
                <w:szCs w:val="28"/>
              </w:rPr>
            </w:pPr>
            <w:r w:rsidRPr="007A7532">
              <w:rPr>
                <w:sz w:val="28"/>
                <w:szCs w:val="28"/>
              </w:rPr>
              <w:t xml:space="preserve"> Контроль за исполнением настоящего решения возложить на постоянную депутатскую комиссию по экономическим вопросам  и законности.</w:t>
            </w:r>
          </w:p>
          <w:p w:rsidR="00465D24" w:rsidRPr="007A7532" w:rsidRDefault="00465D24" w:rsidP="007D20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D24" w:rsidRPr="007A7532" w:rsidRDefault="00465D24" w:rsidP="007D2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D24" w:rsidRPr="007A7532" w:rsidRDefault="00465D24" w:rsidP="007D2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532">
              <w:rPr>
                <w:rFonts w:ascii="Times New Roman" w:hAnsi="Times New Roman" w:cs="Times New Roman"/>
                <w:sz w:val="28"/>
                <w:szCs w:val="28"/>
              </w:rPr>
              <w:t xml:space="preserve">       Глава Среднесибирского сельсовета                                           В.Я. Эрмиш</w:t>
            </w:r>
          </w:p>
          <w:p w:rsidR="00465D24" w:rsidRPr="007A7532" w:rsidRDefault="00465D24" w:rsidP="007D20AF">
            <w:pPr>
              <w:pStyle w:val="ConsTitle"/>
              <w:ind w:left="360" w:right="565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65D24" w:rsidRDefault="00465D24" w:rsidP="007D20AF">
            <w:pPr>
              <w:pStyle w:val="ConsTitle"/>
              <w:ind w:right="565"/>
              <w:jc w:val="both"/>
              <w:rPr>
                <w:b w:val="0"/>
                <w:sz w:val="24"/>
                <w:szCs w:val="24"/>
              </w:rPr>
            </w:pPr>
          </w:p>
          <w:p w:rsidR="00465D24" w:rsidRDefault="00465D24" w:rsidP="007D20AF">
            <w:pPr>
              <w:pStyle w:val="ConsTitle"/>
              <w:ind w:right="565"/>
              <w:jc w:val="both"/>
              <w:rPr>
                <w:b w:val="0"/>
                <w:sz w:val="24"/>
                <w:szCs w:val="24"/>
              </w:rPr>
            </w:pPr>
          </w:p>
          <w:p w:rsidR="00465D24" w:rsidRDefault="00465D24" w:rsidP="007D20AF">
            <w:pPr>
              <w:pStyle w:val="ConsTitle"/>
              <w:ind w:right="565"/>
              <w:jc w:val="both"/>
              <w:rPr>
                <w:b w:val="0"/>
                <w:sz w:val="24"/>
                <w:szCs w:val="24"/>
              </w:rPr>
            </w:pPr>
          </w:p>
          <w:p w:rsidR="00465D24" w:rsidRDefault="00465D24" w:rsidP="007D20AF">
            <w:pPr>
              <w:pStyle w:val="ConsTitle"/>
              <w:ind w:right="565"/>
              <w:jc w:val="both"/>
              <w:rPr>
                <w:b w:val="0"/>
                <w:sz w:val="24"/>
                <w:szCs w:val="24"/>
              </w:rPr>
            </w:pPr>
          </w:p>
          <w:p w:rsidR="00465D24" w:rsidRDefault="00465D24" w:rsidP="007D20AF">
            <w:pPr>
              <w:pStyle w:val="ConsTitle"/>
              <w:ind w:right="565"/>
              <w:jc w:val="both"/>
              <w:rPr>
                <w:b w:val="0"/>
                <w:sz w:val="24"/>
                <w:szCs w:val="24"/>
              </w:rPr>
            </w:pPr>
          </w:p>
          <w:p w:rsidR="00465D24" w:rsidRDefault="00465D24" w:rsidP="007D20AF">
            <w:pPr>
              <w:pStyle w:val="ConsTitle"/>
              <w:ind w:right="565"/>
              <w:jc w:val="both"/>
              <w:rPr>
                <w:b w:val="0"/>
                <w:sz w:val="24"/>
                <w:szCs w:val="24"/>
              </w:rPr>
            </w:pPr>
          </w:p>
          <w:p w:rsidR="00465D24" w:rsidRDefault="00465D24" w:rsidP="007D20AF">
            <w:pPr>
              <w:pStyle w:val="ConsTitle"/>
              <w:ind w:right="565"/>
              <w:jc w:val="both"/>
              <w:rPr>
                <w:b w:val="0"/>
                <w:sz w:val="24"/>
                <w:szCs w:val="24"/>
              </w:rPr>
            </w:pPr>
          </w:p>
          <w:p w:rsidR="00465D24" w:rsidRDefault="00465D24" w:rsidP="007D20AF">
            <w:pPr>
              <w:pStyle w:val="ConsTitle"/>
              <w:ind w:right="565"/>
              <w:jc w:val="both"/>
              <w:rPr>
                <w:b w:val="0"/>
                <w:sz w:val="24"/>
                <w:szCs w:val="24"/>
              </w:rPr>
            </w:pPr>
          </w:p>
          <w:p w:rsidR="00465D24" w:rsidRDefault="00465D24" w:rsidP="007D20AF">
            <w:pPr>
              <w:pStyle w:val="ConsTitle"/>
              <w:ind w:right="565"/>
              <w:jc w:val="both"/>
              <w:rPr>
                <w:b w:val="0"/>
                <w:sz w:val="24"/>
                <w:szCs w:val="24"/>
              </w:rPr>
            </w:pPr>
          </w:p>
          <w:p w:rsidR="00465D24" w:rsidRDefault="00465D24" w:rsidP="007D20AF">
            <w:pPr>
              <w:pStyle w:val="ConsTitle"/>
              <w:ind w:right="565"/>
              <w:jc w:val="both"/>
              <w:rPr>
                <w:b w:val="0"/>
                <w:sz w:val="24"/>
                <w:szCs w:val="24"/>
              </w:rPr>
            </w:pPr>
          </w:p>
          <w:p w:rsidR="00465D24" w:rsidRDefault="00465D24" w:rsidP="007D20AF">
            <w:pPr>
              <w:pStyle w:val="ConsTitle"/>
              <w:ind w:right="565"/>
              <w:jc w:val="both"/>
              <w:rPr>
                <w:b w:val="0"/>
                <w:sz w:val="24"/>
                <w:szCs w:val="24"/>
              </w:rPr>
            </w:pPr>
          </w:p>
          <w:p w:rsidR="00465D24" w:rsidRDefault="00465D24" w:rsidP="007D20AF">
            <w:pPr>
              <w:pStyle w:val="ConsTitle"/>
              <w:ind w:right="565"/>
              <w:jc w:val="both"/>
              <w:rPr>
                <w:b w:val="0"/>
                <w:sz w:val="24"/>
                <w:szCs w:val="24"/>
              </w:rPr>
            </w:pPr>
          </w:p>
          <w:p w:rsidR="00465D24" w:rsidRDefault="00465D24" w:rsidP="007D20AF">
            <w:pPr>
              <w:pStyle w:val="ConsTitle"/>
              <w:ind w:right="565"/>
              <w:jc w:val="both"/>
              <w:rPr>
                <w:b w:val="0"/>
                <w:sz w:val="24"/>
                <w:szCs w:val="24"/>
              </w:rPr>
            </w:pPr>
          </w:p>
          <w:p w:rsidR="00465D24" w:rsidRDefault="00465D24" w:rsidP="007D20AF">
            <w:pPr>
              <w:pStyle w:val="ConsTitle"/>
              <w:ind w:right="565"/>
              <w:jc w:val="both"/>
              <w:rPr>
                <w:b w:val="0"/>
                <w:sz w:val="24"/>
                <w:szCs w:val="24"/>
              </w:rPr>
            </w:pPr>
          </w:p>
          <w:p w:rsidR="00465D24" w:rsidRDefault="00465D24" w:rsidP="007D20AF">
            <w:pPr>
              <w:pStyle w:val="ConsTitle"/>
              <w:ind w:right="565"/>
              <w:jc w:val="both"/>
              <w:rPr>
                <w:b w:val="0"/>
                <w:sz w:val="24"/>
                <w:szCs w:val="24"/>
              </w:rPr>
            </w:pPr>
          </w:p>
          <w:p w:rsidR="00465D24" w:rsidRDefault="00465D24" w:rsidP="007D20AF">
            <w:pPr>
              <w:pStyle w:val="ConsTitle"/>
              <w:ind w:right="565"/>
              <w:jc w:val="both"/>
              <w:rPr>
                <w:b w:val="0"/>
                <w:sz w:val="24"/>
                <w:szCs w:val="24"/>
              </w:rPr>
            </w:pPr>
          </w:p>
          <w:p w:rsidR="00465D24" w:rsidRDefault="00465D24" w:rsidP="007D20AF">
            <w:pPr>
              <w:pStyle w:val="ConsTitle"/>
              <w:ind w:right="565"/>
              <w:jc w:val="both"/>
              <w:rPr>
                <w:b w:val="0"/>
                <w:sz w:val="24"/>
                <w:szCs w:val="24"/>
              </w:rPr>
            </w:pPr>
          </w:p>
          <w:p w:rsidR="00465D24" w:rsidRDefault="00465D24" w:rsidP="007D20AF">
            <w:pPr>
              <w:pStyle w:val="ConsTitle"/>
              <w:ind w:right="565"/>
              <w:jc w:val="both"/>
              <w:rPr>
                <w:b w:val="0"/>
                <w:sz w:val="24"/>
                <w:szCs w:val="24"/>
              </w:rPr>
            </w:pPr>
          </w:p>
          <w:p w:rsidR="00465D24" w:rsidRDefault="00465D24" w:rsidP="007D20AF">
            <w:pPr>
              <w:pStyle w:val="ConsTitle"/>
              <w:ind w:right="565"/>
              <w:jc w:val="both"/>
              <w:rPr>
                <w:b w:val="0"/>
                <w:sz w:val="24"/>
                <w:szCs w:val="24"/>
              </w:rPr>
            </w:pPr>
          </w:p>
          <w:p w:rsidR="00465D24" w:rsidRDefault="00465D24" w:rsidP="007D20AF">
            <w:pPr>
              <w:pStyle w:val="ConsTitle"/>
              <w:ind w:right="565"/>
              <w:jc w:val="both"/>
              <w:rPr>
                <w:b w:val="0"/>
                <w:sz w:val="24"/>
                <w:szCs w:val="24"/>
              </w:rPr>
            </w:pPr>
          </w:p>
          <w:p w:rsidR="00465D24" w:rsidRDefault="00465D24" w:rsidP="007D20AF">
            <w:pPr>
              <w:pStyle w:val="ConsTitle"/>
              <w:ind w:right="565"/>
              <w:jc w:val="both"/>
              <w:rPr>
                <w:b w:val="0"/>
                <w:sz w:val="24"/>
                <w:szCs w:val="24"/>
              </w:rPr>
            </w:pPr>
          </w:p>
          <w:p w:rsidR="00465D24" w:rsidRDefault="00465D24" w:rsidP="007D20AF">
            <w:pPr>
              <w:pStyle w:val="ConsTitle"/>
              <w:ind w:right="565"/>
              <w:jc w:val="both"/>
              <w:rPr>
                <w:b w:val="0"/>
                <w:sz w:val="24"/>
                <w:szCs w:val="24"/>
              </w:rPr>
            </w:pPr>
          </w:p>
          <w:p w:rsidR="00465D24" w:rsidRDefault="00465D24" w:rsidP="007D20AF">
            <w:pPr>
              <w:pStyle w:val="ConsTitle"/>
              <w:ind w:right="565"/>
              <w:jc w:val="both"/>
              <w:rPr>
                <w:b w:val="0"/>
                <w:sz w:val="24"/>
                <w:szCs w:val="24"/>
              </w:rPr>
            </w:pPr>
          </w:p>
          <w:p w:rsidR="00465D24" w:rsidRDefault="00465D24" w:rsidP="007D20AF">
            <w:pPr>
              <w:pStyle w:val="ConsTitle"/>
              <w:ind w:right="565"/>
              <w:jc w:val="both"/>
              <w:rPr>
                <w:b w:val="0"/>
                <w:sz w:val="24"/>
                <w:szCs w:val="24"/>
              </w:rPr>
            </w:pPr>
          </w:p>
          <w:p w:rsidR="00465D24" w:rsidRDefault="00465D24" w:rsidP="007D20AF">
            <w:pPr>
              <w:pStyle w:val="ConsTitle"/>
              <w:ind w:right="565"/>
              <w:jc w:val="both"/>
              <w:rPr>
                <w:b w:val="0"/>
                <w:sz w:val="24"/>
                <w:szCs w:val="24"/>
              </w:rPr>
            </w:pPr>
          </w:p>
          <w:p w:rsidR="00465D24" w:rsidRDefault="00465D24" w:rsidP="007D20AF">
            <w:pPr>
              <w:pStyle w:val="ConsTitle"/>
              <w:ind w:right="565"/>
              <w:jc w:val="both"/>
              <w:rPr>
                <w:b w:val="0"/>
                <w:sz w:val="24"/>
                <w:szCs w:val="24"/>
              </w:rPr>
            </w:pPr>
          </w:p>
          <w:p w:rsidR="00465D24" w:rsidRDefault="00465D24" w:rsidP="007D20AF">
            <w:pPr>
              <w:pStyle w:val="ConsTitle"/>
              <w:ind w:right="565"/>
              <w:jc w:val="both"/>
              <w:rPr>
                <w:b w:val="0"/>
                <w:sz w:val="24"/>
                <w:szCs w:val="24"/>
              </w:rPr>
            </w:pPr>
          </w:p>
          <w:p w:rsidR="00465D24" w:rsidRDefault="00465D24" w:rsidP="007D20AF">
            <w:pPr>
              <w:pStyle w:val="ConsTitle"/>
              <w:ind w:right="565"/>
              <w:jc w:val="both"/>
              <w:rPr>
                <w:b w:val="0"/>
                <w:sz w:val="24"/>
                <w:szCs w:val="24"/>
              </w:rPr>
            </w:pPr>
          </w:p>
          <w:p w:rsidR="00465D24" w:rsidRDefault="00465D24" w:rsidP="007D20AF">
            <w:pPr>
              <w:pStyle w:val="ConsTitle"/>
              <w:ind w:right="565"/>
              <w:jc w:val="both"/>
              <w:rPr>
                <w:b w:val="0"/>
                <w:sz w:val="24"/>
                <w:szCs w:val="24"/>
              </w:rPr>
            </w:pPr>
          </w:p>
          <w:p w:rsidR="00465D24" w:rsidRDefault="00465D24" w:rsidP="007D20AF">
            <w:pPr>
              <w:pStyle w:val="ConsTitle"/>
              <w:ind w:right="565"/>
              <w:jc w:val="both"/>
              <w:rPr>
                <w:b w:val="0"/>
                <w:sz w:val="24"/>
                <w:szCs w:val="24"/>
              </w:rPr>
            </w:pPr>
          </w:p>
          <w:p w:rsidR="00465D24" w:rsidRDefault="00465D24" w:rsidP="007D20AF">
            <w:pPr>
              <w:pStyle w:val="ConsTitle"/>
              <w:ind w:right="565"/>
              <w:jc w:val="both"/>
              <w:rPr>
                <w:b w:val="0"/>
                <w:sz w:val="24"/>
                <w:szCs w:val="24"/>
              </w:rPr>
            </w:pPr>
          </w:p>
          <w:p w:rsidR="00465D24" w:rsidRDefault="00465D24" w:rsidP="007D20AF">
            <w:pPr>
              <w:pStyle w:val="ConsTitle"/>
              <w:ind w:right="565"/>
              <w:jc w:val="both"/>
              <w:rPr>
                <w:b w:val="0"/>
                <w:sz w:val="24"/>
                <w:szCs w:val="24"/>
              </w:rPr>
            </w:pPr>
          </w:p>
          <w:p w:rsidR="00465D24" w:rsidRDefault="00465D24" w:rsidP="007D20AF">
            <w:pPr>
              <w:pStyle w:val="ConsTitle"/>
              <w:ind w:right="565"/>
              <w:jc w:val="both"/>
              <w:rPr>
                <w:b w:val="0"/>
                <w:sz w:val="24"/>
                <w:szCs w:val="24"/>
              </w:rPr>
            </w:pPr>
          </w:p>
          <w:p w:rsidR="00465D24" w:rsidRDefault="00465D24" w:rsidP="007D20AF">
            <w:pPr>
              <w:pStyle w:val="ConsTitle"/>
              <w:ind w:right="565"/>
              <w:jc w:val="both"/>
              <w:rPr>
                <w:b w:val="0"/>
                <w:sz w:val="24"/>
                <w:szCs w:val="24"/>
              </w:rPr>
            </w:pPr>
          </w:p>
          <w:p w:rsidR="00465D24" w:rsidRDefault="00465D24" w:rsidP="007D20AF">
            <w:pPr>
              <w:pStyle w:val="ConsTitle"/>
              <w:ind w:right="565"/>
              <w:jc w:val="both"/>
              <w:rPr>
                <w:b w:val="0"/>
                <w:sz w:val="24"/>
                <w:szCs w:val="24"/>
              </w:rPr>
            </w:pPr>
          </w:p>
          <w:p w:rsidR="00465D24" w:rsidRDefault="00465D24" w:rsidP="007D20AF">
            <w:pPr>
              <w:pStyle w:val="ConsTitle"/>
              <w:ind w:right="565"/>
              <w:jc w:val="both"/>
              <w:rPr>
                <w:b w:val="0"/>
                <w:sz w:val="24"/>
                <w:szCs w:val="24"/>
              </w:rPr>
            </w:pPr>
          </w:p>
          <w:p w:rsidR="00465D24" w:rsidRDefault="00465D24" w:rsidP="007D20AF">
            <w:pPr>
              <w:pStyle w:val="ConsTitle"/>
              <w:ind w:right="565"/>
              <w:jc w:val="both"/>
              <w:rPr>
                <w:b w:val="0"/>
                <w:sz w:val="24"/>
                <w:szCs w:val="24"/>
              </w:rPr>
            </w:pPr>
          </w:p>
          <w:p w:rsidR="00465D24" w:rsidRDefault="00465D24" w:rsidP="007D20AF">
            <w:pPr>
              <w:pStyle w:val="ConsTitle"/>
              <w:ind w:right="565"/>
              <w:jc w:val="both"/>
              <w:rPr>
                <w:b w:val="0"/>
                <w:sz w:val="24"/>
                <w:szCs w:val="24"/>
              </w:rPr>
            </w:pPr>
          </w:p>
          <w:p w:rsidR="00465D24" w:rsidRDefault="00465D24" w:rsidP="007D20AF">
            <w:pPr>
              <w:pStyle w:val="ConsTitle"/>
              <w:ind w:right="565"/>
              <w:jc w:val="both"/>
              <w:rPr>
                <w:b w:val="0"/>
                <w:sz w:val="24"/>
                <w:szCs w:val="24"/>
              </w:rPr>
            </w:pPr>
          </w:p>
          <w:p w:rsidR="00465D24" w:rsidRPr="00623711" w:rsidRDefault="00465D24" w:rsidP="007D20AF">
            <w:pPr>
              <w:pStyle w:val="ConsTitle"/>
              <w:ind w:right="565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465D24" w:rsidRPr="009F184B" w:rsidRDefault="00465D24" w:rsidP="00465D24">
      <w:pPr>
        <w:shd w:val="clear" w:color="auto" w:fill="FFFFFF"/>
        <w:spacing w:after="135" w:line="270" w:lineRule="atLeast"/>
        <w:ind w:left="-851" w:right="283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F184B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465D24" w:rsidRDefault="00465D24" w:rsidP="00465D24">
      <w:pPr>
        <w:shd w:val="clear" w:color="auto" w:fill="FFFFFF"/>
        <w:spacing w:after="0" w:line="270" w:lineRule="atLeast"/>
        <w:ind w:left="-851" w:right="283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F184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</w:t>
      </w:r>
      <w:r w:rsidRPr="009F184B">
        <w:rPr>
          <w:rFonts w:ascii="Times New Roman" w:eastAsia="Times New Roman" w:hAnsi="Times New Roman" w:cs="Times New Roman"/>
          <w:color w:val="333333"/>
          <w:sz w:val="28"/>
          <w:szCs w:val="28"/>
        </w:rPr>
        <w:t>ешению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9F184B">
        <w:rPr>
          <w:rFonts w:ascii="Times New Roman" w:eastAsia="Times New Roman" w:hAnsi="Times New Roman" w:cs="Times New Roman"/>
          <w:color w:val="333333"/>
          <w:sz w:val="28"/>
          <w:szCs w:val="28"/>
        </w:rPr>
        <w:t>Совета депутатов</w:t>
      </w:r>
    </w:p>
    <w:p w:rsidR="00465D24" w:rsidRPr="009F184B" w:rsidRDefault="00465D24" w:rsidP="00465D24">
      <w:pPr>
        <w:shd w:val="clear" w:color="auto" w:fill="FFFFFF"/>
        <w:spacing w:after="0" w:line="270" w:lineRule="atLeast"/>
        <w:ind w:left="-851" w:right="283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F184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Среднесибирского</w:t>
      </w:r>
      <w:r w:rsidRPr="009F184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сель</w:t>
      </w:r>
      <w:r w:rsidRPr="009F184B">
        <w:rPr>
          <w:rFonts w:ascii="Times New Roman" w:eastAsia="Times New Roman" w:hAnsi="Times New Roman" w:cs="Times New Roman"/>
          <w:color w:val="333333"/>
          <w:sz w:val="28"/>
          <w:szCs w:val="28"/>
        </w:rPr>
        <w:t>совета</w:t>
      </w:r>
    </w:p>
    <w:p w:rsidR="00465D24" w:rsidRPr="009F184B" w:rsidRDefault="00465D24" w:rsidP="00465D24">
      <w:pPr>
        <w:shd w:val="clear" w:color="auto" w:fill="FFFFFF"/>
        <w:spacing w:after="0" w:line="270" w:lineRule="atLeast"/>
        <w:ind w:left="-851" w:right="283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F184B">
        <w:rPr>
          <w:rFonts w:ascii="Times New Roman" w:eastAsia="Times New Roman" w:hAnsi="Times New Roman" w:cs="Times New Roman"/>
          <w:color w:val="333333"/>
          <w:sz w:val="28"/>
          <w:szCs w:val="28"/>
        </w:rPr>
        <w:t>от «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13 </w:t>
      </w:r>
      <w:r w:rsidRPr="009F184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ноябр</w:t>
      </w:r>
      <w:r w:rsidRPr="009F184B">
        <w:rPr>
          <w:rFonts w:ascii="Times New Roman" w:eastAsia="Times New Roman" w:hAnsi="Times New Roman" w:cs="Times New Roman"/>
          <w:color w:val="333333"/>
          <w:sz w:val="28"/>
          <w:szCs w:val="28"/>
        </w:rPr>
        <w:t>я  2019 г. №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91</w:t>
      </w:r>
    </w:p>
    <w:p w:rsidR="00465D24" w:rsidRDefault="00465D24" w:rsidP="00465D24">
      <w:pPr>
        <w:shd w:val="clear" w:color="auto" w:fill="FFFFFF"/>
        <w:spacing w:after="0" w:line="270" w:lineRule="atLeast"/>
        <w:ind w:left="-851" w:right="283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465D24" w:rsidRDefault="00465D24" w:rsidP="00465D24">
      <w:pPr>
        <w:shd w:val="clear" w:color="auto" w:fill="FFFFFF"/>
        <w:spacing w:after="0" w:line="270" w:lineRule="atLeast"/>
        <w:ind w:left="-851" w:right="283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465D24" w:rsidRDefault="00465D24" w:rsidP="00465D24">
      <w:pPr>
        <w:shd w:val="clear" w:color="auto" w:fill="FFFFFF"/>
        <w:spacing w:after="0" w:line="270" w:lineRule="atLeast"/>
        <w:ind w:left="-851" w:right="283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465D24" w:rsidRPr="009F184B" w:rsidRDefault="00465D24" w:rsidP="00465D24">
      <w:pPr>
        <w:shd w:val="clear" w:color="auto" w:fill="FFFFFF"/>
        <w:spacing w:after="0" w:line="270" w:lineRule="atLeast"/>
        <w:ind w:left="-851" w:right="283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F18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</w:p>
    <w:p w:rsidR="00465D24" w:rsidRPr="009F184B" w:rsidRDefault="00465D24" w:rsidP="00465D24">
      <w:pPr>
        <w:shd w:val="clear" w:color="auto" w:fill="FFFFFF"/>
        <w:spacing w:after="0" w:line="270" w:lineRule="atLeast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74AA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        </w:t>
      </w:r>
      <w:r w:rsidRPr="00A74AA9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/>
        </w:rPr>
        <w:t>I</w:t>
      </w:r>
      <w:r w:rsidRPr="00A74AA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9F184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Пункт 1.2 Правил благоустройства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на территории Среднесибирского сельсовета</w:t>
      </w:r>
      <w:r w:rsidRPr="009F184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дополнить:</w:t>
      </w:r>
    </w:p>
    <w:p w:rsidR="00465D24" w:rsidRPr="009F184B" w:rsidRDefault="00465D24" w:rsidP="00465D24">
      <w:pPr>
        <w:shd w:val="clear" w:color="auto" w:fill="FFFFFF"/>
        <w:spacing w:after="0" w:line="270" w:lineRule="atLeast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Pr="00DE5B1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границы прилегающей территории</w:t>
      </w:r>
      <w:r w:rsidRPr="009F184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 условные линии, определяющие местоположение прилегающей территории, установленные в горизонтальной плоскости перпендикулярно границам здания, строения, сооружения, земельного участка, если такой земельный участок образован (далее - земельный участок);</w:t>
      </w:r>
    </w:p>
    <w:p w:rsidR="00465D24" w:rsidRPr="009F184B" w:rsidRDefault="00465D24" w:rsidP="00465D24">
      <w:pPr>
        <w:shd w:val="clear" w:color="auto" w:fill="FFFFFF"/>
        <w:spacing w:after="0" w:line="270" w:lineRule="atLeast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Pr="00DE5B1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внутренняя граница прилегающей территории</w:t>
      </w:r>
      <w:r w:rsidRPr="009F184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 часть границы прилегающей территории, непосредственно примыкающая к границе здания, строения, сооружения, земельного участка и являющаяся их общей границей;</w:t>
      </w:r>
    </w:p>
    <w:p w:rsidR="00465D24" w:rsidRPr="009F184B" w:rsidRDefault="00465D24" w:rsidP="00465D24">
      <w:pPr>
        <w:shd w:val="clear" w:color="auto" w:fill="FFFFFF"/>
        <w:spacing w:after="135" w:line="270" w:lineRule="atLeast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Pr="00DE5B1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внешняя граница прилегающей территории</w:t>
      </w:r>
      <w:r w:rsidRPr="009F184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 часть границы прилегающей территории, не примыкающая непосредственно к границе здания, строения, сооружения, земельного участка и не выходящая за пределы территорий общего пользования.</w:t>
      </w:r>
    </w:p>
    <w:p w:rsidR="00465D24" w:rsidRPr="00A07404" w:rsidRDefault="00465D24" w:rsidP="00465D24">
      <w:pPr>
        <w:shd w:val="clear" w:color="auto" w:fill="FFFFFF"/>
        <w:spacing w:after="0" w:line="270" w:lineRule="atLeast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        </w:t>
      </w:r>
      <w:r w:rsidRPr="00A74AA9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/>
        </w:rPr>
        <w:t>II</w:t>
      </w:r>
      <w:r w:rsidRPr="00A74AA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</w:t>
      </w:r>
      <w:r w:rsidRPr="00A0740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Дополнить Правила благоустройства на территории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Среднесибирского</w:t>
      </w:r>
      <w:r w:rsidRPr="00A0740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сельсовета пунк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том 1.2.1 </w:t>
      </w:r>
      <w:r w:rsidRPr="00A07404">
        <w:rPr>
          <w:rFonts w:ascii="Times New Roman" w:eastAsia="Times New Roman" w:hAnsi="Times New Roman" w:cs="Times New Roman"/>
          <w:color w:val="333333"/>
          <w:sz w:val="28"/>
          <w:szCs w:val="28"/>
        </w:rPr>
        <w:t>«Порядок определения границ прилегающей территории»   следующего содержания:</w:t>
      </w:r>
    </w:p>
    <w:p w:rsidR="00465D24" w:rsidRPr="009F184B" w:rsidRDefault="00465D24" w:rsidP="00465D24">
      <w:pPr>
        <w:shd w:val="clear" w:color="auto" w:fill="FFFFFF"/>
        <w:spacing w:after="0" w:line="270" w:lineRule="atLeast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а) г</w:t>
      </w:r>
      <w:r w:rsidRPr="009F184B">
        <w:rPr>
          <w:rFonts w:ascii="Times New Roman" w:eastAsia="Times New Roman" w:hAnsi="Times New Roman" w:cs="Times New Roman"/>
          <w:color w:val="333333"/>
          <w:sz w:val="28"/>
          <w:szCs w:val="28"/>
        </w:rPr>
        <w:t>раницы прилегающей территории определяются в отношении территорий общего пользования, которые прилегают (имеют общую границу) к зданию, строению, сооружению, земельному участку.</w:t>
      </w:r>
    </w:p>
    <w:p w:rsidR="00465D24" w:rsidRPr="009F184B" w:rsidRDefault="00465D24" w:rsidP="00465D24">
      <w:pPr>
        <w:shd w:val="clear" w:color="auto" w:fill="FFFFFF"/>
        <w:spacing w:after="0" w:line="270" w:lineRule="atLeast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б) в</w:t>
      </w:r>
      <w:r w:rsidRPr="009F184B">
        <w:rPr>
          <w:rFonts w:ascii="Times New Roman" w:eastAsia="Times New Roman" w:hAnsi="Times New Roman" w:cs="Times New Roman"/>
          <w:color w:val="333333"/>
          <w:sz w:val="28"/>
          <w:szCs w:val="28"/>
        </w:rPr>
        <w:t>нешняя граница прилегающей территории устанавливается дифференцированно в зависимости от места расположения здания, строения, сооружения, земельного участка в существующей застройке и (или) вида разрешенного использования, и (или) функционального назначения, и (или) площади.</w:t>
      </w:r>
    </w:p>
    <w:p w:rsidR="00465D24" w:rsidRPr="009F184B" w:rsidRDefault="00465D24" w:rsidP="00465D24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в) в</w:t>
      </w:r>
      <w:r w:rsidRPr="009F184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нешняя граница прилегающей территории определяется в метрах от внутренней границы прилегающей территории, за исключением случаев, установленных частью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г)</w:t>
      </w:r>
      <w:r w:rsidRPr="009F184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пункта 1.2.2 настоящих Правил, и устанавливается:</w:t>
      </w:r>
    </w:p>
    <w:p w:rsidR="00465D24" w:rsidRPr="009F184B" w:rsidRDefault="00465D24" w:rsidP="00465D24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Pr="009F184B">
        <w:rPr>
          <w:rFonts w:ascii="Times New Roman" w:eastAsia="Times New Roman" w:hAnsi="Times New Roman" w:cs="Times New Roman"/>
          <w:color w:val="333333"/>
          <w:sz w:val="28"/>
          <w:szCs w:val="28"/>
        </w:rPr>
        <w:t>для зданий, строений, сооружений, не имеющих ограждения, расположенных на земельных участках, границы которых не сформированы в соответствии с федеральным законодательством, - по периметру от фактических границ указанных зданий, строений, сооружений;</w:t>
      </w:r>
    </w:p>
    <w:p w:rsidR="00465D24" w:rsidRPr="009F184B" w:rsidRDefault="00465D24" w:rsidP="00465D24">
      <w:pPr>
        <w:shd w:val="clear" w:color="auto" w:fill="FFFFFF"/>
        <w:spacing w:after="0" w:line="270" w:lineRule="atLeast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Pr="009F184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для зданий, строений, сооружений, имеющих ограждения, расположенных на земельных участках, границы которых не сформированы в соответствии с федеральным законодательством, - по периметру от ограждений;</w:t>
      </w:r>
    </w:p>
    <w:p w:rsidR="00465D24" w:rsidRPr="009F184B" w:rsidRDefault="00465D24" w:rsidP="00465D24">
      <w:pPr>
        <w:shd w:val="clear" w:color="auto" w:fill="FFFFFF"/>
        <w:spacing w:after="0" w:line="270" w:lineRule="atLeast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-</w:t>
      </w:r>
      <w:r w:rsidRPr="009F184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для земельных участков, границы которых сформированы в соответствии с федеральным законодательством, - по периметру от границ таких земельных участков;</w:t>
      </w:r>
    </w:p>
    <w:p w:rsidR="00465D24" w:rsidRPr="009F184B" w:rsidRDefault="00465D24" w:rsidP="00465D24">
      <w:pPr>
        <w:shd w:val="clear" w:color="auto" w:fill="FFFFFF"/>
        <w:spacing w:after="0" w:line="270" w:lineRule="atLeast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Pr="009F184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для отдельно стоящих сооружений цилиндрической формы (указателей, рекламных конструкций, столбов, опор освещения, контактной и электросети, водоразборных колонок и иных сооружений) - по радиусу от их фактических границ.</w:t>
      </w:r>
    </w:p>
    <w:p w:rsidR="00465D24" w:rsidRDefault="00465D24" w:rsidP="00465D24">
      <w:pPr>
        <w:shd w:val="clear" w:color="auto" w:fill="FFFFFF"/>
        <w:spacing w:after="135" w:line="270" w:lineRule="atLeast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г) </w:t>
      </w:r>
      <w:r w:rsidRPr="009F184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Внешняя граница прилегающей территории может устанавливаться соглашением об определении границ прилегающей территории, заключаемым между Администрацией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Среднесибирского</w:t>
      </w:r>
      <w:r w:rsidRPr="009F184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сель</w:t>
      </w:r>
      <w:r w:rsidRPr="009F184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совета и собственником и (или) иным законным владельцем здания, строения, сооружения, земельного участка либо уполномоченным лицом (далее - соглашение), при этом размер внешней границы прилегающей территории, определенный на основании соглашения, не может быть меньше размера внешней границы прилегающей территории, установленного на основании части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в)</w:t>
      </w:r>
      <w:r w:rsidRPr="009F184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пункта 1.2.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</w:t>
      </w:r>
      <w:r w:rsidRPr="009F184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настоящих Правил. Границы прилегающей территории, установленные соглашением, отображаются собственником и (или) иным законным владельцем здания, строения, сооружения, земельного участка либо уполномоченным лицом на карте-схеме, являющейся его неотъемлемой частью. Порядок заключения соглашений, подготовки и рассмотрения карт-схем определяется правилами благоустройства.</w:t>
      </w:r>
    </w:p>
    <w:p w:rsidR="00465D24" w:rsidRDefault="00465D24" w:rsidP="00465D24">
      <w:pPr>
        <w:shd w:val="clear" w:color="auto" w:fill="FFFFFF"/>
        <w:spacing w:after="0" w:line="270" w:lineRule="atLeast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д) Карта-схема подготавливается на топографической съемке масштабом 1:500 и должна содержать следующие сведения:</w:t>
      </w:r>
    </w:p>
    <w:p w:rsidR="00465D24" w:rsidRDefault="00465D24" w:rsidP="00465D24">
      <w:pPr>
        <w:shd w:val="clear" w:color="auto" w:fill="FFFFFF"/>
        <w:spacing w:after="0" w:line="270" w:lineRule="atLeast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адрес здания, строения, земельного участка (при его наличии) либо обозначение места расположения объекта с указанием наименования, в отношении которого устанавливаются границы прилегающей территории; </w:t>
      </w:r>
    </w:p>
    <w:p w:rsidR="00465D24" w:rsidRDefault="00465D24" w:rsidP="00465D24">
      <w:pPr>
        <w:shd w:val="clear" w:color="auto" w:fill="FFFFFF"/>
        <w:spacing w:after="0" w:line="270" w:lineRule="atLeast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информация о собственнике  и (или) ином владельце здания, строения, сооружения, земельного участка, либо уполномоченном лице: наименование  (для юридического лица), фамилия, имя, отчество (если имеется) для индивидуального предпринимателя и физического лица), место нахождения (для юридического лица), почтовый адрес, контактные телефоны;</w:t>
      </w:r>
    </w:p>
    <w:p w:rsidR="00465D24" w:rsidRDefault="00465D24" w:rsidP="00465D24">
      <w:pPr>
        <w:shd w:val="clear" w:color="auto" w:fill="FFFFFF"/>
        <w:spacing w:after="0" w:line="270" w:lineRule="atLeast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схематическое изображение границ прилегающей территории;</w:t>
      </w:r>
    </w:p>
    <w:p w:rsidR="00465D24" w:rsidRPr="009F184B" w:rsidRDefault="00465D24" w:rsidP="00465D24">
      <w:pPr>
        <w:shd w:val="clear" w:color="auto" w:fill="FFFFFF"/>
        <w:spacing w:after="0" w:line="270" w:lineRule="atLeast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-схематическое изображение элементов благоустройства (их наименования), попадающих в границы прилегающей территории.</w:t>
      </w:r>
    </w:p>
    <w:p w:rsidR="00465D24" w:rsidRPr="009F184B" w:rsidRDefault="00465D24" w:rsidP="00465D24">
      <w:pPr>
        <w:shd w:val="clear" w:color="auto" w:fill="FFFFFF"/>
        <w:spacing w:before="100" w:beforeAutospacing="1" w:after="0" w:line="270" w:lineRule="atLeast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         </w:t>
      </w:r>
      <w:r w:rsidRPr="00A74AA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III.</w:t>
      </w:r>
      <w:r w:rsidRPr="009F184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Дополнить Правила благоустройства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9F184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пунктом 1.2.2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«Ограничения</w:t>
      </w:r>
      <w:r w:rsidRPr="00A0740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при определении границ прилегающей территории» </w:t>
      </w:r>
      <w:r w:rsidRPr="009F184B">
        <w:rPr>
          <w:rFonts w:ascii="Times New Roman" w:eastAsia="Times New Roman" w:hAnsi="Times New Roman" w:cs="Times New Roman"/>
          <w:color w:val="333333"/>
          <w:sz w:val="28"/>
          <w:szCs w:val="28"/>
        </w:rPr>
        <w:t>следующего содержания:</w:t>
      </w:r>
    </w:p>
    <w:p w:rsidR="00465D24" w:rsidRPr="00A07404" w:rsidRDefault="00465D24" w:rsidP="00465D24">
      <w:pPr>
        <w:pStyle w:val="af7"/>
        <w:numPr>
          <w:ilvl w:val="0"/>
          <w:numId w:val="24"/>
        </w:numPr>
        <w:shd w:val="clear" w:color="auto" w:fill="FFFFFF"/>
        <w:spacing w:line="270" w:lineRule="atLeast"/>
        <w:ind w:left="0" w:right="-1" w:firstLine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Pr="00A07404">
        <w:rPr>
          <w:color w:val="333333"/>
          <w:sz w:val="28"/>
          <w:szCs w:val="28"/>
        </w:rPr>
        <w:t>В границах прилегающих территорий могут располагаться только следующие территории общего пользования или их части:</w:t>
      </w:r>
    </w:p>
    <w:p w:rsidR="00465D24" w:rsidRPr="009F184B" w:rsidRDefault="00465D24" w:rsidP="00465D24">
      <w:pPr>
        <w:shd w:val="clear" w:color="auto" w:fill="FFFFFF"/>
        <w:spacing w:after="0" w:line="270" w:lineRule="atLeast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Pr="009F184B">
        <w:rPr>
          <w:rFonts w:ascii="Times New Roman" w:eastAsia="Times New Roman" w:hAnsi="Times New Roman" w:cs="Times New Roman"/>
          <w:color w:val="333333"/>
          <w:sz w:val="28"/>
          <w:szCs w:val="28"/>
        </w:rPr>
        <w:t>) пешеходные коммуникации, в том числе тротуары, аллеи, дорожки, тропинки;</w:t>
      </w:r>
    </w:p>
    <w:p w:rsidR="00465D24" w:rsidRPr="009F184B" w:rsidRDefault="00465D24" w:rsidP="00465D24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б</w:t>
      </w:r>
      <w:r w:rsidRPr="009F184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) иные территории общего пользования, установленные правилами благоустройства, за исключением дорог, проездов, других транспортных коммуникаций, парков, скверов, бульваров, береговых полос, а также иных </w:t>
      </w:r>
      <w:r w:rsidRPr="009F184B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территорий, содержание которых является обязанностью правообладателя в соответствии с законодательством Российской Федерации.</w:t>
      </w:r>
    </w:p>
    <w:p w:rsidR="00465D24" w:rsidRPr="00A07404" w:rsidRDefault="00465D24" w:rsidP="00465D24">
      <w:pPr>
        <w:pStyle w:val="af7"/>
        <w:numPr>
          <w:ilvl w:val="0"/>
          <w:numId w:val="23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/>
        <w:ind w:left="0" w:right="-1" w:firstLine="0"/>
        <w:jc w:val="both"/>
        <w:rPr>
          <w:color w:val="333333"/>
          <w:sz w:val="28"/>
          <w:szCs w:val="28"/>
        </w:rPr>
      </w:pPr>
      <w:r w:rsidRPr="00A07404">
        <w:rPr>
          <w:color w:val="333333"/>
          <w:sz w:val="28"/>
          <w:szCs w:val="28"/>
        </w:rPr>
        <w:t>В отношении каждого здания, строения, сооружения, земельного участка устанавливаются границы только одной прилегающей территории (в том числе границы, имеющие один замкнутый контур или совокупность контуров, в случае если образован многоконтурный земельный участок), за исключением случаев, когда данное здание, строение или сооружение обеспечивает исключительно функционирование здания, строения, сооружения, земельного участка, в отношении которого определяются границы прилегающей территории.</w:t>
      </w:r>
    </w:p>
    <w:p w:rsidR="00465D24" w:rsidRPr="00757671" w:rsidRDefault="00465D24" w:rsidP="00465D24">
      <w:pPr>
        <w:pStyle w:val="af7"/>
        <w:numPr>
          <w:ilvl w:val="0"/>
          <w:numId w:val="23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70" w:lineRule="atLeast"/>
        <w:ind w:left="0" w:right="-1" w:firstLine="0"/>
        <w:jc w:val="both"/>
        <w:rPr>
          <w:color w:val="333333"/>
          <w:sz w:val="28"/>
          <w:szCs w:val="28"/>
        </w:rPr>
      </w:pPr>
      <w:r w:rsidRPr="00757671">
        <w:rPr>
          <w:color w:val="333333"/>
          <w:sz w:val="28"/>
          <w:szCs w:val="28"/>
        </w:rPr>
        <w:t>Пересечение границ прилега</w:t>
      </w:r>
      <w:r>
        <w:rPr>
          <w:color w:val="333333"/>
          <w:sz w:val="28"/>
          <w:szCs w:val="28"/>
        </w:rPr>
        <w:t xml:space="preserve">ющей территории, за исключением </w:t>
      </w:r>
      <w:r w:rsidRPr="00757671">
        <w:rPr>
          <w:color w:val="333333"/>
          <w:sz w:val="28"/>
          <w:szCs w:val="28"/>
        </w:rPr>
        <w:t>случаев установления общих смежных границ прилегающей территории, не допускается.</w:t>
      </w:r>
      <w:r>
        <w:rPr>
          <w:color w:val="333333"/>
          <w:sz w:val="28"/>
          <w:szCs w:val="28"/>
        </w:rPr>
        <w:t xml:space="preserve"> В случае, если границы смежных прилегающих территорий, определенные в соответствии с частью б) статьи </w:t>
      </w:r>
      <w:r>
        <w:rPr>
          <w:color w:val="333333"/>
          <w:sz w:val="28"/>
          <w:szCs w:val="28"/>
          <w:lang w:val="en-US"/>
        </w:rPr>
        <w:t>II</w:t>
      </w:r>
      <w:r w:rsidRPr="00530059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настоящих Правил, пересекаются, порядок участия, в том числе  финансового, собственников и (или) иных законных владельцев зданий, строений, сооружений, земельных участков в содержании пересекающихся частей прилегающих территорий  </w:t>
      </w:r>
    </w:p>
    <w:p w:rsidR="00465D24" w:rsidRPr="00757671" w:rsidRDefault="00465D24" w:rsidP="00465D24">
      <w:pPr>
        <w:pStyle w:val="af7"/>
        <w:numPr>
          <w:ilvl w:val="0"/>
          <w:numId w:val="23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70" w:lineRule="atLeast"/>
        <w:ind w:left="0" w:right="-1" w:firstLine="0"/>
        <w:jc w:val="both"/>
        <w:rPr>
          <w:color w:val="333333"/>
          <w:sz w:val="28"/>
          <w:szCs w:val="28"/>
        </w:rPr>
      </w:pPr>
      <w:r w:rsidRPr="00757671">
        <w:rPr>
          <w:color w:val="333333"/>
          <w:sz w:val="28"/>
          <w:szCs w:val="28"/>
        </w:rPr>
        <w:t>Пересечение границ прилегающей территории с линейным объектом (линией электропередачи, линией связи (в том числе линейно-кабельным сооружением), трубопроводом, автомобильной дорогой, железнодорожной линией и другими подобными сооружениями) не допускается. Внешняя граница прилегающей территории определяется до пересечения с выделенным для линейного объекта земельным участком, охранной зоной, ограждением, дорожным бордюром.</w:t>
      </w:r>
    </w:p>
    <w:p w:rsidR="00465D24" w:rsidRPr="00E400A2" w:rsidRDefault="00465D24" w:rsidP="00465D24">
      <w:pPr>
        <w:rPr>
          <w:rFonts w:ascii="Arial" w:hAnsi="Arial" w:cs="Arial"/>
          <w:sz w:val="24"/>
          <w:szCs w:val="24"/>
        </w:rPr>
      </w:pPr>
    </w:p>
    <w:p w:rsidR="00003049" w:rsidRDefault="00003049"/>
    <w:sectPr w:rsidR="00003049" w:rsidSect="007A7532">
      <w:headerReference w:type="default" r:id="rId8"/>
      <w:pgSz w:w="11906" w:h="16838"/>
      <w:pgMar w:top="1134" w:right="850" w:bottom="1134" w:left="1418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3EC" w:rsidRDefault="009053EC" w:rsidP="00C76E63">
      <w:pPr>
        <w:spacing w:after="0" w:line="240" w:lineRule="auto"/>
      </w:pPr>
      <w:r>
        <w:separator/>
      </w:r>
    </w:p>
  </w:endnote>
  <w:endnote w:type="continuationSeparator" w:id="1">
    <w:p w:rsidR="009053EC" w:rsidRDefault="009053EC" w:rsidP="00C76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3EC" w:rsidRDefault="009053EC" w:rsidP="00C76E63">
      <w:pPr>
        <w:spacing w:after="0" w:line="240" w:lineRule="auto"/>
      </w:pPr>
      <w:r>
        <w:separator/>
      </w:r>
    </w:p>
  </w:footnote>
  <w:footnote w:type="continuationSeparator" w:id="1">
    <w:p w:rsidR="009053EC" w:rsidRDefault="009053EC" w:rsidP="00C76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8B0" w:rsidRDefault="00FB08B0">
    <w:pPr>
      <w:pStyle w:val="ad"/>
      <w:jc w:val="right"/>
    </w:pPr>
  </w:p>
  <w:p w:rsidR="00FB08B0" w:rsidRDefault="00FB08B0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23516C"/>
    <w:multiLevelType w:val="hybridMultilevel"/>
    <w:tmpl w:val="25D00138"/>
    <w:lvl w:ilvl="0" w:tplc="051A2A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61A439E"/>
    <w:multiLevelType w:val="multilevel"/>
    <w:tmpl w:val="8A72DD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C26A3F"/>
    <w:multiLevelType w:val="hybridMultilevel"/>
    <w:tmpl w:val="85208F2C"/>
    <w:lvl w:ilvl="0" w:tplc="5BD2195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>
    <w:nsid w:val="0B480A90"/>
    <w:multiLevelType w:val="hybridMultilevel"/>
    <w:tmpl w:val="13FE5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1072C2"/>
    <w:multiLevelType w:val="hybridMultilevel"/>
    <w:tmpl w:val="D2DE1636"/>
    <w:lvl w:ilvl="0" w:tplc="BB56498E">
      <w:start w:val="1"/>
      <w:numFmt w:val="decimal"/>
      <w:lvlText w:val="%1."/>
      <w:lvlJc w:val="left"/>
      <w:pPr>
        <w:ind w:left="129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39C062C"/>
    <w:multiLevelType w:val="hybridMultilevel"/>
    <w:tmpl w:val="16CACAAE"/>
    <w:lvl w:ilvl="0" w:tplc="0A2808D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EDEABE6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4250FDD"/>
    <w:multiLevelType w:val="singleLevel"/>
    <w:tmpl w:val="D97C0CEC"/>
    <w:lvl w:ilvl="0">
      <w:start w:val="2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9">
    <w:nsid w:val="1AEF707F"/>
    <w:multiLevelType w:val="hybridMultilevel"/>
    <w:tmpl w:val="1966D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C4594E"/>
    <w:multiLevelType w:val="hybridMultilevel"/>
    <w:tmpl w:val="008EBEA8"/>
    <w:lvl w:ilvl="0" w:tplc="B8A875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E1247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86A03D9"/>
    <w:multiLevelType w:val="hybridMultilevel"/>
    <w:tmpl w:val="BE2E6CEA"/>
    <w:lvl w:ilvl="0" w:tplc="6A3CFF40">
      <w:start w:val="3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4C0351DF"/>
    <w:multiLevelType w:val="hybridMultilevel"/>
    <w:tmpl w:val="15CC70BA"/>
    <w:lvl w:ilvl="0" w:tplc="2E7217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54AB63BB"/>
    <w:multiLevelType w:val="hybridMultilevel"/>
    <w:tmpl w:val="3558D6C8"/>
    <w:lvl w:ilvl="0" w:tplc="F6D4A59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BF3FB4"/>
    <w:multiLevelType w:val="hybridMultilevel"/>
    <w:tmpl w:val="E2A6A99E"/>
    <w:lvl w:ilvl="0" w:tplc="7D7C6F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566C272E"/>
    <w:multiLevelType w:val="hybridMultilevel"/>
    <w:tmpl w:val="A45AC312"/>
    <w:lvl w:ilvl="0" w:tplc="6BB687D6">
      <w:start w:val="3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7">
    <w:nsid w:val="5AE97336"/>
    <w:multiLevelType w:val="hybridMultilevel"/>
    <w:tmpl w:val="35926E60"/>
    <w:lvl w:ilvl="0" w:tplc="367A57E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5D095E4B"/>
    <w:multiLevelType w:val="hybridMultilevel"/>
    <w:tmpl w:val="570008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0F0746"/>
    <w:multiLevelType w:val="multilevel"/>
    <w:tmpl w:val="8242AAC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20">
    <w:nsid w:val="6C216AEC"/>
    <w:multiLevelType w:val="hybridMultilevel"/>
    <w:tmpl w:val="D3586B0E"/>
    <w:lvl w:ilvl="0" w:tplc="06F658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6C304571"/>
    <w:multiLevelType w:val="hybridMultilevel"/>
    <w:tmpl w:val="400A19EE"/>
    <w:lvl w:ilvl="0" w:tplc="2E56F2D4">
      <w:start w:val="3"/>
      <w:numFmt w:val="decimal"/>
      <w:lvlText w:val="%1."/>
      <w:lvlJc w:val="left"/>
      <w:pPr>
        <w:ind w:left="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9" w:hanging="360"/>
      </w:pPr>
    </w:lvl>
    <w:lvl w:ilvl="2" w:tplc="0419001B" w:tentative="1">
      <w:start w:val="1"/>
      <w:numFmt w:val="lowerRoman"/>
      <w:lvlText w:val="%3."/>
      <w:lvlJc w:val="right"/>
      <w:pPr>
        <w:ind w:left="1519" w:hanging="180"/>
      </w:pPr>
    </w:lvl>
    <w:lvl w:ilvl="3" w:tplc="0419000F" w:tentative="1">
      <w:start w:val="1"/>
      <w:numFmt w:val="decimal"/>
      <w:lvlText w:val="%4."/>
      <w:lvlJc w:val="left"/>
      <w:pPr>
        <w:ind w:left="2239" w:hanging="360"/>
      </w:pPr>
    </w:lvl>
    <w:lvl w:ilvl="4" w:tplc="04190019" w:tentative="1">
      <w:start w:val="1"/>
      <w:numFmt w:val="lowerLetter"/>
      <w:lvlText w:val="%5."/>
      <w:lvlJc w:val="left"/>
      <w:pPr>
        <w:ind w:left="2959" w:hanging="360"/>
      </w:pPr>
    </w:lvl>
    <w:lvl w:ilvl="5" w:tplc="0419001B" w:tentative="1">
      <w:start w:val="1"/>
      <w:numFmt w:val="lowerRoman"/>
      <w:lvlText w:val="%6."/>
      <w:lvlJc w:val="right"/>
      <w:pPr>
        <w:ind w:left="3679" w:hanging="180"/>
      </w:pPr>
    </w:lvl>
    <w:lvl w:ilvl="6" w:tplc="0419000F" w:tentative="1">
      <w:start w:val="1"/>
      <w:numFmt w:val="decimal"/>
      <w:lvlText w:val="%7."/>
      <w:lvlJc w:val="left"/>
      <w:pPr>
        <w:ind w:left="4399" w:hanging="360"/>
      </w:pPr>
    </w:lvl>
    <w:lvl w:ilvl="7" w:tplc="04190019" w:tentative="1">
      <w:start w:val="1"/>
      <w:numFmt w:val="lowerLetter"/>
      <w:lvlText w:val="%8."/>
      <w:lvlJc w:val="left"/>
      <w:pPr>
        <w:ind w:left="5119" w:hanging="360"/>
      </w:pPr>
    </w:lvl>
    <w:lvl w:ilvl="8" w:tplc="0419001B" w:tentative="1">
      <w:start w:val="1"/>
      <w:numFmt w:val="lowerRoman"/>
      <w:lvlText w:val="%9."/>
      <w:lvlJc w:val="right"/>
      <w:pPr>
        <w:ind w:left="5839" w:hanging="180"/>
      </w:pPr>
    </w:lvl>
  </w:abstractNum>
  <w:abstractNum w:abstractNumId="22">
    <w:nsid w:val="7DA62A0B"/>
    <w:multiLevelType w:val="hybridMultilevel"/>
    <w:tmpl w:val="48B6E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12"/>
  </w:num>
  <w:num w:numId="7">
    <w:abstractNumId w:val="17"/>
  </w:num>
  <w:num w:numId="8">
    <w:abstractNumId w:val="1"/>
  </w:num>
  <w:num w:numId="9">
    <w:abstractNumId w:val="16"/>
  </w:num>
  <w:num w:numId="10">
    <w:abstractNumId w:val="5"/>
  </w:num>
  <w:num w:numId="11">
    <w:abstractNumId w:val="19"/>
  </w:num>
  <w:num w:numId="12">
    <w:abstractNumId w:val="20"/>
  </w:num>
  <w:num w:numId="13">
    <w:abstractNumId w:val="15"/>
  </w:num>
  <w:num w:numId="14">
    <w:abstractNumId w:val="8"/>
  </w:num>
  <w:num w:numId="15">
    <w:abstractNumId w:val="13"/>
  </w:num>
  <w:num w:numId="16">
    <w:abstractNumId w:val="11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8"/>
  </w:num>
  <w:num w:numId="20">
    <w:abstractNumId w:val="6"/>
  </w:num>
  <w:num w:numId="21">
    <w:abstractNumId w:val="22"/>
  </w:num>
  <w:num w:numId="22">
    <w:abstractNumId w:val="21"/>
  </w:num>
  <w:num w:numId="23">
    <w:abstractNumId w:val="3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63B56"/>
    <w:rsid w:val="000027C6"/>
    <w:rsid w:val="00003049"/>
    <w:rsid w:val="00026E96"/>
    <w:rsid w:val="00036605"/>
    <w:rsid w:val="00066183"/>
    <w:rsid w:val="00084CC8"/>
    <w:rsid w:val="00086A72"/>
    <w:rsid w:val="000E7627"/>
    <w:rsid w:val="000F33C8"/>
    <w:rsid w:val="00141DCB"/>
    <w:rsid w:val="00145730"/>
    <w:rsid w:val="001573DC"/>
    <w:rsid w:val="001C7E9C"/>
    <w:rsid w:val="0021103F"/>
    <w:rsid w:val="00237387"/>
    <w:rsid w:val="00263B56"/>
    <w:rsid w:val="002B7935"/>
    <w:rsid w:val="002F66DB"/>
    <w:rsid w:val="00322AF8"/>
    <w:rsid w:val="00324A32"/>
    <w:rsid w:val="00361489"/>
    <w:rsid w:val="003B0EA1"/>
    <w:rsid w:val="003B48DC"/>
    <w:rsid w:val="003C08A3"/>
    <w:rsid w:val="00423C90"/>
    <w:rsid w:val="004324B9"/>
    <w:rsid w:val="0044096B"/>
    <w:rsid w:val="004601DE"/>
    <w:rsid w:val="00465D24"/>
    <w:rsid w:val="00476B3B"/>
    <w:rsid w:val="00476D03"/>
    <w:rsid w:val="004B4E00"/>
    <w:rsid w:val="005012DF"/>
    <w:rsid w:val="005871D6"/>
    <w:rsid w:val="005B5AA2"/>
    <w:rsid w:val="005F0AFD"/>
    <w:rsid w:val="006056E2"/>
    <w:rsid w:val="006474E6"/>
    <w:rsid w:val="006615E2"/>
    <w:rsid w:val="006D109A"/>
    <w:rsid w:val="006D7446"/>
    <w:rsid w:val="006E4B4D"/>
    <w:rsid w:val="006F55D3"/>
    <w:rsid w:val="00725A0D"/>
    <w:rsid w:val="007467F4"/>
    <w:rsid w:val="00757BD4"/>
    <w:rsid w:val="007A7532"/>
    <w:rsid w:val="00804C93"/>
    <w:rsid w:val="00846CE9"/>
    <w:rsid w:val="00875320"/>
    <w:rsid w:val="00890FDA"/>
    <w:rsid w:val="009053EC"/>
    <w:rsid w:val="00911A27"/>
    <w:rsid w:val="00980F6A"/>
    <w:rsid w:val="00A06486"/>
    <w:rsid w:val="00AF0EBF"/>
    <w:rsid w:val="00C10B8D"/>
    <w:rsid w:val="00C13622"/>
    <w:rsid w:val="00C52AE3"/>
    <w:rsid w:val="00C6364F"/>
    <w:rsid w:val="00C76E63"/>
    <w:rsid w:val="00D91745"/>
    <w:rsid w:val="00E22928"/>
    <w:rsid w:val="00E400A2"/>
    <w:rsid w:val="00E83394"/>
    <w:rsid w:val="00EE2C78"/>
    <w:rsid w:val="00F1386D"/>
    <w:rsid w:val="00F31B5C"/>
    <w:rsid w:val="00F50D31"/>
    <w:rsid w:val="00F77F9F"/>
    <w:rsid w:val="00FB08B0"/>
    <w:rsid w:val="00FB5ECD"/>
    <w:rsid w:val="00FE1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C93"/>
  </w:style>
  <w:style w:type="paragraph" w:styleId="1">
    <w:name w:val="heading 1"/>
    <w:basedOn w:val="a"/>
    <w:next w:val="a"/>
    <w:link w:val="10"/>
    <w:qFormat/>
    <w:rsid w:val="00C76E63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C76E63"/>
    <w:pPr>
      <w:keepNext/>
      <w:autoSpaceDE w:val="0"/>
      <w:autoSpaceDN w:val="0"/>
      <w:adjustRightInd w:val="0"/>
      <w:spacing w:after="0" w:line="240" w:lineRule="auto"/>
      <w:ind w:firstLine="540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12D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263B5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63B56"/>
    <w:rPr>
      <w:sz w:val="16"/>
      <w:szCs w:val="16"/>
    </w:rPr>
  </w:style>
  <w:style w:type="paragraph" w:styleId="a3">
    <w:name w:val="No Spacing"/>
    <w:uiPriority w:val="99"/>
    <w:qFormat/>
    <w:rsid w:val="00263B56"/>
    <w:pPr>
      <w:spacing w:after="0" w:line="240" w:lineRule="auto"/>
    </w:pPr>
  </w:style>
  <w:style w:type="paragraph" w:styleId="a4">
    <w:name w:val="Body Text Indent"/>
    <w:basedOn w:val="a"/>
    <w:link w:val="a5"/>
    <w:unhideWhenUsed/>
    <w:rsid w:val="00C76E6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C76E63"/>
  </w:style>
  <w:style w:type="paragraph" w:styleId="21">
    <w:name w:val="Body Text Indent 2"/>
    <w:basedOn w:val="a"/>
    <w:link w:val="22"/>
    <w:unhideWhenUsed/>
    <w:rsid w:val="00C76E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6E63"/>
  </w:style>
  <w:style w:type="character" w:customStyle="1" w:styleId="10">
    <w:name w:val="Заголовок 1 Знак"/>
    <w:basedOn w:val="a0"/>
    <w:link w:val="1"/>
    <w:rsid w:val="00C76E63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C76E63"/>
    <w:rPr>
      <w:rFonts w:ascii="Times New Roman" w:eastAsia="Times New Roman" w:hAnsi="Times New Roman" w:cs="Times New Roman"/>
      <w:sz w:val="28"/>
      <w:szCs w:val="24"/>
    </w:rPr>
  </w:style>
  <w:style w:type="character" w:styleId="a6">
    <w:name w:val="Hyperlink"/>
    <w:semiHidden/>
    <w:unhideWhenUsed/>
    <w:rsid w:val="00C76E63"/>
    <w:rPr>
      <w:color w:val="074592"/>
      <w:u w:val="single"/>
    </w:rPr>
  </w:style>
  <w:style w:type="character" w:styleId="a7">
    <w:name w:val="FollowedHyperlink"/>
    <w:basedOn w:val="a0"/>
    <w:uiPriority w:val="99"/>
    <w:semiHidden/>
    <w:unhideWhenUsed/>
    <w:rsid w:val="00C76E63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C76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note text"/>
    <w:basedOn w:val="a"/>
    <w:link w:val="aa"/>
    <w:unhideWhenUsed/>
    <w:rsid w:val="00C76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rsid w:val="00C76E63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annotation text"/>
    <w:basedOn w:val="a"/>
    <w:link w:val="ac"/>
    <w:uiPriority w:val="99"/>
    <w:semiHidden/>
    <w:unhideWhenUsed/>
    <w:rsid w:val="00C76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76E63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C76E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C76E63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C76E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C76E63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C76E6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C76E63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semiHidden/>
    <w:unhideWhenUsed/>
    <w:rsid w:val="00C76E63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4">
    <w:name w:val="Основной текст 2 Знак"/>
    <w:basedOn w:val="a0"/>
    <w:link w:val="23"/>
    <w:semiHidden/>
    <w:rsid w:val="00C76E63"/>
    <w:rPr>
      <w:rFonts w:ascii="Times New Roman" w:eastAsia="Times New Roman" w:hAnsi="Times New Roman" w:cs="Times New Roman"/>
      <w:sz w:val="28"/>
      <w:szCs w:val="28"/>
    </w:rPr>
  </w:style>
  <w:style w:type="paragraph" w:styleId="af3">
    <w:name w:val="annotation subject"/>
    <w:basedOn w:val="ab"/>
    <w:next w:val="ab"/>
    <w:link w:val="af4"/>
    <w:uiPriority w:val="99"/>
    <w:semiHidden/>
    <w:unhideWhenUsed/>
    <w:rsid w:val="00C76E63"/>
    <w:rPr>
      <w:b/>
      <w:bCs/>
    </w:rPr>
  </w:style>
  <w:style w:type="character" w:customStyle="1" w:styleId="af4">
    <w:name w:val="Тема примечания Знак"/>
    <w:basedOn w:val="ac"/>
    <w:link w:val="af3"/>
    <w:uiPriority w:val="99"/>
    <w:semiHidden/>
    <w:rsid w:val="00C76E63"/>
    <w:rPr>
      <w:b/>
      <w:bCs/>
    </w:rPr>
  </w:style>
  <w:style w:type="paragraph" w:styleId="af5">
    <w:name w:val="Balloon Text"/>
    <w:basedOn w:val="a"/>
    <w:link w:val="af6"/>
    <w:uiPriority w:val="99"/>
    <w:semiHidden/>
    <w:unhideWhenUsed/>
    <w:rsid w:val="00C76E6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76E63"/>
    <w:rPr>
      <w:rFonts w:ascii="Tahoma" w:eastAsia="Times New Roman" w:hAnsi="Tahoma" w:cs="Tahoma"/>
      <w:sz w:val="16"/>
      <w:szCs w:val="16"/>
    </w:rPr>
  </w:style>
  <w:style w:type="paragraph" w:styleId="af7">
    <w:name w:val="List Paragraph"/>
    <w:basedOn w:val="a"/>
    <w:uiPriority w:val="34"/>
    <w:qFormat/>
    <w:rsid w:val="00C76E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C76E6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C76E6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C76E6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8">
    <w:name w:val="Прижатый влево"/>
    <w:basedOn w:val="a"/>
    <w:next w:val="a"/>
    <w:uiPriority w:val="99"/>
    <w:rsid w:val="00C76E6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9">
    <w:name w:val="Комментарий"/>
    <w:basedOn w:val="a"/>
    <w:next w:val="a"/>
    <w:uiPriority w:val="99"/>
    <w:rsid w:val="00C76E63"/>
    <w:pPr>
      <w:shd w:val="clear" w:color="auto" w:fill="F0F0F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Arial"/>
      <w:color w:val="353842"/>
      <w:sz w:val="24"/>
      <w:szCs w:val="24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C76E63"/>
    <w:pPr>
      <w:spacing w:before="0"/>
    </w:pPr>
    <w:rPr>
      <w:i/>
      <w:iCs/>
    </w:rPr>
  </w:style>
  <w:style w:type="paragraph" w:customStyle="1" w:styleId="afb">
    <w:name w:val="Заголовок статьи"/>
    <w:basedOn w:val="a"/>
    <w:next w:val="a"/>
    <w:uiPriority w:val="99"/>
    <w:rsid w:val="00C76E63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c">
    <w:name w:val="Таблицы (моноширинный)"/>
    <w:basedOn w:val="a"/>
    <w:next w:val="a"/>
    <w:uiPriority w:val="99"/>
    <w:rsid w:val="00C76E6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afd">
    <w:name w:val="Нормальный (таблица)"/>
    <w:basedOn w:val="a"/>
    <w:next w:val="a"/>
    <w:uiPriority w:val="99"/>
    <w:rsid w:val="00C76E63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Знак Знак Знак1 Знак"/>
    <w:basedOn w:val="a"/>
    <w:semiHidden/>
    <w:rsid w:val="00C76E6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Default">
    <w:name w:val="Default"/>
    <w:rsid w:val="00C76E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C76E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DocList">
    <w:name w:val="ConsPlusDocList"/>
    <w:rsid w:val="00C76E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C76E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C76E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C76E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e">
    <w:name w:val="footnote reference"/>
    <w:semiHidden/>
    <w:unhideWhenUsed/>
    <w:rsid w:val="00C76E63"/>
    <w:rPr>
      <w:vertAlign w:val="superscript"/>
    </w:rPr>
  </w:style>
  <w:style w:type="character" w:styleId="aff">
    <w:name w:val="annotation reference"/>
    <w:uiPriority w:val="99"/>
    <w:semiHidden/>
    <w:unhideWhenUsed/>
    <w:rsid w:val="00C76E63"/>
    <w:rPr>
      <w:sz w:val="16"/>
      <w:szCs w:val="16"/>
    </w:rPr>
  </w:style>
  <w:style w:type="character" w:customStyle="1" w:styleId="FontStyle26">
    <w:name w:val="Font Style26"/>
    <w:rsid w:val="00C76E63"/>
    <w:rPr>
      <w:rFonts w:ascii="Times New Roman" w:hAnsi="Times New Roman" w:cs="Times New Roman" w:hint="default"/>
      <w:sz w:val="24"/>
      <w:szCs w:val="24"/>
    </w:rPr>
  </w:style>
  <w:style w:type="character" w:customStyle="1" w:styleId="aff0">
    <w:name w:val="Гипертекстовая ссылка"/>
    <w:uiPriority w:val="99"/>
    <w:rsid w:val="00C76E63"/>
    <w:rPr>
      <w:color w:val="106BBE"/>
    </w:rPr>
  </w:style>
  <w:style w:type="character" w:styleId="aff1">
    <w:name w:val="Strong"/>
    <w:basedOn w:val="a0"/>
    <w:uiPriority w:val="22"/>
    <w:qFormat/>
    <w:rsid w:val="00C76E63"/>
    <w:rPr>
      <w:b/>
      <w:bCs/>
    </w:rPr>
  </w:style>
  <w:style w:type="character" w:styleId="aff2">
    <w:name w:val="Emphasis"/>
    <w:qFormat/>
    <w:rsid w:val="00E400A2"/>
    <w:rPr>
      <w:i/>
      <w:iCs/>
    </w:rPr>
  </w:style>
  <w:style w:type="character" w:styleId="aff3">
    <w:name w:val="page number"/>
    <w:basedOn w:val="a0"/>
    <w:semiHidden/>
    <w:rsid w:val="00E400A2"/>
  </w:style>
  <w:style w:type="paragraph" w:customStyle="1" w:styleId="12">
    <w:name w:val="Знак Знак Знак1 Знак"/>
    <w:basedOn w:val="a"/>
    <w:rsid w:val="00E400A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5012D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f4">
    <w:name w:val="Plain Text"/>
    <w:basedOn w:val="a"/>
    <w:link w:val="aff5"/>
    <w:unhideWhenUsed/>
    <w:rsid w:val="005012D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5">
    <w:name w:val="Текст Знак"/>
    <w:basedOn w:val="a0"/>
    <w:link w:val="aff4"/>
    <w:rsid w:val="005012DF"/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5012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6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AF60D-38A9-41A0-9434-C676395B0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2018-12-18T10:01:00Z</cp:lastPrinted>
  <dcterms:created xsi:type="dcterms:W3CDTF">2019-06-28T06:22:00Z</dcterms:created>
  <dcterms:modified xsi:type="dcterms:W3CDTF">2019-11-28T13:00:00Z</dcterms:modified>
</cp:coreProperties>
</file>